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2018年深圳市坪山区产业园区专项债券（二期）、2019年深圳市（坪山区）产业园区专项债券（一期）存续期公开信息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财政部关于印发〈地方政府债务信息公开办法（试行）〉的通知》（财预〔2018〕209号），现将2018年深圳市坪山区产业园区专项债券（二期）-2018年深圳市政府专项债券（五期）、2019年深圳市（坪山区）产业园区专项债券（一期）-2019年深圳市政府专项债券（十一期）存续期相关信息公开如下：</w:t>
      </w:r>
    </w:p>
    <w:p>
      <w:pPr>
        <w:pStyle w:val="8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地方政府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专项债券发行</w:t>
      </w:r>
      <w:r>
        <w:rPr>
          <w:rFonts w:hint="eastAsia" w:ascii="黑体" w:hAnsi="黑体" w:eastAsia="黑体" w:cs="黑体"/>
          <w:bCs/>
          <w:sz w:val="32"/>
          <w:szCs w:val="32"/>
        </w:rPr>
        <w:t>概况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坪山生物医药产业加速器园区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坪山新能源汽车产业园区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（原名“生物医药企业加速器二期”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新能源（汽车）产业基地中部启动区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”）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深圳市坪山区产业投资服务有限公司（下称“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产服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项目共发行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2只专项债券，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2018年9月27日发行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“2018年深圳市坪山区产业园区专项债券（二期）-2018年深圳市政府专项债券（五期）”，募集资金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15亿元；于2019年3月28日发行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“2019年深圳市（坪山区）产业园区专项债券（一期）-2019年深圳市政府专项债券（十一期）”，募集资金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15亿元，2019年9月调整资金用途后用于本项目资金为5.2亿元，合计发行专项债券20.2亿元。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截至201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年末</w:t>
      </w:r>
      <w:r>
        <w:rPr>
          <w:rFonts w:hint="eastAsia" w:ascii="黑体" w:hAnsi="黑体" w:eastAsia="黑体" w:cs="黑体"/>
          <w:sz w:val="32"/>
          <w:szCs w:val="32"/>
        </w:rPr>
        <w:t>专项债券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的相关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专项</w:t>
      </w:r>
      <w:r>
        <w:rPr>
          <w:rFonts w:hint="eastAsia" w:ascii="楷体" w:hAnsi="楷体" w:eastAsia="楷体" w:cs="楷体"/>
          <w:sz w:val="32"/>
          <w:szCs w:val="32"/>
        </w:rPr>
        <w:t>债券资金使用情况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专项债券资金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954.78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坪山生物医药产业加速器园区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852.95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坪山新能源汽车产业园区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万元，手续费支出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，专项债券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141,045.22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于2020年1月份上缴财政局。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red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（二）专项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债券对应项目建设进度、运营情况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坪山生物医药产业加速器园区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项目</w:t>
      </w:r>
    </w:p>
    <w:p>
      <w:pPr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产服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公司于2017年12月12日竞得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坪山生物医药产业加速器园区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土地使用权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，项目于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2018年11月开工建设。</w:t>
      </w:r>
    </w:p>
    <w:p>
      <w:pPr>
        <w:numPr>
          <w:ilvl w:val="0"/>
          <w:numId w:val="0"/>
        </w:numPr>
        <w:spacing w:line="560" w:lineRule="exact"/>
        <w:ind w:firstLine="640" w:firstLineChars="200"/>
        <w:textAlignment w:val="baseline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）方案设计</w:t>
      </w:r>
    </w:p>
    <w:p>
      <w:pPr>
        <w:numPr>
          <w:ilvl w:val="0"/>
          <w:numId w:val="0"/>
        </w:numPr>
        <w:spacing w:line="560" w:lineRule="exact"/>
        <w:ind w:firstLine="640" w:firstLineChars="200"/>
        <w:textAlignment w:val="baseline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方案设计</w:t>
      </w:r>
      <w:r>
        <w:rPr>
          <w:rFonts w:hint="eastAsia" w:ascii="仿宋_GB2312" w:eastAsia="仿宋_GB2312"/>
          <w:sz w:val="32"/>
          <w:szCs w:val="32"/>
          <w:lang w:eastAsia="zh-CN"/>
        </w:rPr>
        <w:t>单位是</w:t>
      </w:r>
      <w:r>
        <w:rPr>
          <w:rFonts w:hint="eastAsia" w:ascii="仿宋_GB2312" w:eastAsia="仿宋_GB2312"/>
          <w:sz w:val="32"/>
          <w:szCs w:val="32"/>
        </w:rPr>
        <w:t>国药集团重庆医药设计院有限公司/万城城市设计研究（深圳）有限公司/KSP尤根恩格尔建筑师国际有限公司联合体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2019年7月16日设计方案获区规划建设委员会审议通过，项目总投资估算于2019年8月6日获区国资局批复同意，2019年9月18日区发改局出具概算评审意见，并经区常务会审议通过，审核后项目概算为48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33亿元，其中建安费42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亿元，其他费3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11亿元，预备费2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3亿元。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）工程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建设</w:t>
      </w:r>
    </w:p>
    <w:p>
      <w:pPr>
        <w:spacing w:line="560" w:lineRule="exact"/>
        <w:ind w:firstLine="640" w:firstLineChars="200"/>
        <w:textAlignment w:val="baseline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地基与基础工程</w:t>
      </w:r>
      <w:r>
        <w:rPr>
          <w:rFonts w:hint="eastAsia" w:ascii="仿宋_GB2312" w:eastAsia="仿宋_GB2312"/>
          <w:kern w:val="2"/>
          <w:sz w:val="32"/>
          <w:szCs w:val="32"/>
        </w:rPr>
        <w:t>于2018年11月28日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开工，由中建三局集团有限公司承建，</w:t>
      </w:r>
      <w:r>
        <w:rPr>
          <w:rFonts w:hint="eastAsia" w:ascii="仿宋_GB2312" w:hAnsi="宋体" w:eastAsia="仿宋_GB2312"/>
          <w:bCs/>
          <w:sz w:val="32"/>
          <w:szCs w:val="32"/>
        </w:rPr>
        <w:t>本项目土方共计约</w:t>
      </w:r>
      <w:r>
        <w:rPr>
          <w:rFonts w:ascii="仿宋_GB2312" w:hAnsi="宋体" w:eastAsia="仿宋_GB2312"/>
          <w:bCs/>
          <w:sz w:val="32"/>
          <w:szCs w:val="32"/>
        </w:rPr>
        <w:t>150万m³，累计完成123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.</w:t>
      </w:r>
      <w:r>
        <w:rPr>
          <w:rFonts w:ascii="仿宋_GB2312" w:hAnsi="宋体" w:eastAsia="仿宋_GB2312"/>
          <w:bCs/>
          <w:sz w:val="32"/>
          <w:szCs w:val="32"/>
        </w:rPr>
        <w:t>53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万</w:t>
      </w:r>
      <w:r>
        <w:rPr>
          <w:rFonts w:ascii="仿宋_GB2312" w:hAnsi="宋体" w:eastAsia="仿宋_GB2312"/>
          <w:bCs/>
          <w:sz w:val="32"/>
          <w:szCs w:val="32"/>
        </w:rPr>
        <w:t>m³，占总量的82.35%。基本施工至工程桩施工预留标高，剩余土方为桩芯土和工程桩施工保护预留土，待工程桩施工完毕后再进行挖运。基坑支护系统，除预留坡道下方没有施工外，全部施工完毕。</w:t>
      </w:r>
      <w:r>
        <w:rPr>
          <w:rFonts w:hint="eastAsia" w:ascii="仿宋_GB2312" w:hAnsi="宋体" w:eastAsia="仿宋_GB2312"/>
          <w:bCs/>
          <w:sz w:val="32"/>
          <w:szCs w:val="32"/>
        </w:rPr>
        <w:t>同步优化桩基础施工图纸，准备相关施工工作。</w:t>
      </w:r>
    </w:p>
    <w:p>
      <w:pPr>
        <w:tabs>
          <w:tab w:val="left" w:pos="2700"/>
        </w:tabs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为减轻项目建设资金压力，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成两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个标段进行EPC招标工作。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一标段EPC招标已于2019年12月14日挂网公示，投标总报价上限28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元，2020年1月2日截标。</w:t>
      </w:r>
    </w:p>
    <w:p>
      <w:pPr>
        <w:spacing w:line="578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2.坪山新能源汽车产业园区项目</w:t>
      </w:r>
    </w:p>
    <w:p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产服公司于2018年3月15日成功竞得新能源（汽车）产业基地中部启动区内G14301-0111和G14301-0112地块，用于规划建设坪山新能源汽车产业园区项目。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（1）G14301-0111宗地</w:t>
      </w:r>
    </w:p>
    <w:p>
      <w:pPr>
        <w:spacing w:line="560" w:lineRule="exact"/>
        <w:ind w:firstLine="640" w:firstLineChars="200"/>
        <w:contextualSpacing/>
        <w:jc w:val="left"/>
        <w:rPr>
          <w:rFonts w:hAnsi="宋体" w:cs="Times New Roman"/>
          <w:bCs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G14301-0111宗地项目将向北京理工大学提供10万平方米载体空间，用于组建北京理工大学深圳汽车研究院项目（简称“北理工研究院项目”）。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该项目建设方案采用市政府出资采购设备和区政府注资，产服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公司负责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建设的方式。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已完成项目围挡、清表、初勘、现状航拍、管线探测、地形测量等前期工作。</w:t>
      </w:r>
    </w:p>
    <w:p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（2）G14301-0112宗地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已完成项目围挡、清表、初勘、现状航拍、管线探测、地形测量等前期工作。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总投资估算已经区发改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审核并经区国资局批准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概算为</w:t>
      </w:r>
      <w:r>
        <w:rPr>
          <w:rFonts w:ascii="仿宋_GB2312" w:hAnsi="仿宋" w:eastAsia="仿宋_GB2312" w:cs="宋体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ascii="仿宋_GB2312" w:hAnsi="仿宋" w:eastAsia="仿宋_GB2312" w:cs="宋体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8亿</w:t>
      </w:r>
      <w:r>
        <w:rPr>
          <w:rFonts w:ascii="仿宋_GB2312" w:hAnsi="仿宋" w:eastAsia="仿宋_GB2312" w:cs="宋体"/>
          <w:color w:val="000000"/>
          <w:sz w:val="32"/>
          <w:szCs w:val="32"/>
        </w:rPr>
        <w:t>元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为加快项目建设进度，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采用从方案设计阶段启动</w:t>
      </w:r>
      <w:r>
        <w:rPr>
          <w:rFonts w:ascii="仿宋_GB2312" w:hAnsi="仿宋" w:eastAsia="仿宋_GB2312" w:cs="宋体"/>
          <w:color w:val="000000"/>
          <w:sz w:val="32"/>
          <w:szCs w:val="32"/>
        </w:rPr>
        <w:t>EPC招标的建设模式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11月20日完成EPC招标文件编制，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11月23日挂网公示，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12月19日完成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EPC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定标工作，中标单位为中建科技有限公司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中标价</w:t>
      </w: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</w:rPr>
        <w:t>13</w:t>
      </w: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  <w:lang w:val="en-US" w:eastAsia="zh-CN"/>
        </w:rPr>
        <w:t>3亿</w:t>
      </w:r>
      <w:r>
        <w:rPr>
          <w:rFonts w:hint="eastAsia" w:ascii="仿宋_GB2312" w:hAnsi="仿宋" w:eastAsia="仿宋_GB2312" w:cs="宋体"/>
          <w:b w:val="0"/>
          <w:bCs/>
          <w:color w:val="000000"/>
          <w:sz w:val="32"/>
          <w:szCs w:val="32"/>
        </w:rPr>
        <w:t>元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项目收益以及项目对应形成的资产情况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坪山生物医药产业加速器园区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坪山新能源汽车产业园区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目前均处于建设期，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暂未形成收益。</w:t>
      </w:r>
      <w:r>
        <w:rPr>
          <w:rFonts w:hint="eastAsia" w:ascii="仿宋_GB2312" w:eastAsia="仿宋_GB2312"/>
          <w:sz w:val="32"/>
          <w:szCs w:val="32"/>
          <w:lang w:eastAsia="zh-CN"/>
        </w:rPr>
        <w:t>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2019年末，</w:t>
      </w:r>
      <w:r>
        <w:rPr>
          <w:rFonts w:hint="eastAsia" w:ascii="仿宋_GB2312" w:eastAsia="仿宋_GB2312"/>
          <w:sz w:val="32"/>
          <w:szCs w:val="32"/>
          <w:lang w:eastAsia="zh-CN"/>
        </w:rPr>
        <w:t>已形成在建工程约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167,271.91</w:t>
      </w:r>
      <w:r>
        <w:rPr>
          <w:rFonts w:hint="eastAsia" w:ascii="仿宋_GB2312" w:eastAsia="仿宋_GB2312"/>
          <w:sz w:val="32"/>
          <w:szCs w:val="32"/>
          <w:lang w:eastAsia="zh-CN"/>
        </w:rPr>
        <w:t>万元,其中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坪山生物医药产业加速器园区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106,379.7</w:t>
      </w:r>
      <w:r>
        <w:rPr>
          <w:rFonts w:hint="eastAsia" w:ascii="仿宋_GB2312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坪山新能源汽车产业园区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60,892.21</w:t>
      </w:r>
      <w:r>
        <w:rPr>
          <w:rFonts w:hint="eastAsia" w:ascii="仿宋_GB2312" w:eastAsia="仿宋_GB2312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7"/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B449"/>
    <w:multiLevelType w:val="singleLevel"/>
    <w:tmpl w:val="06DAB44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5986BF7"/>
    <w:multiLevelType w:val="singleLevel"/>
    <w:tmpl w:val="55986B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1EE9"/>
    <w:rsid w:val="01BE7C97"/>
    <w:rsid w:val="027331A9"/>
    <w:rsid w:val="05A77EB6"/>
    <w:rsid w:val="09621BE9"/>
    <w:rsid w:val="0B256693"/>
    <w:rsid w:val="0B925683"/>
    <w:rsid w:val="0CD46F9F"/>
    <w:rsid w:val="1059582B"/>
    <w:rsid w:val="12D26B4A"/>
    <w:rsid w:val="13C404F3"/>
    <w:rsid w:val="17986B9B"/>
    <w:rsid w:val="17A302F9"/>
    <w:rsid w:val="187121FF"/>
    <w:rsid w:val="190200DD"/>
    <w:rsid w:val="191608B1"/>
    <w:rsid w:val="1A412630"/>
    <w:rsid w:val="1E541E03"/>
    <w:rsid w:val="22091627"/>
    <w:rsid w:val="23FE7A0F"/>
    <w:rsid w:val="25B772B5"/>
    <w:rsid w:val="266577C5"/>
    <w:rsid w:val="29480975"/>
    <w:rsid w:val="2B723F30"/>
    <w:rsid w:val="308614F4"/>
    <w:rsid w:val="36E334B5"/>
    <w:rsid w:val="37EB6C44"/>
    <w:rsid w:val="38314EE5"/>
    <w:rsid w:val="3F625CA2"/>
    <w:rsid w:val="407411E8"/>
    <w:rsid w:val="42B34335"/>
    <w:rsid w:val="44107EE5"/>
    <w:rsid w:val="46657359"/>
    <w:rsid w:val="485F2642"/>
    <w:rsid w:val="49A926C6"/>
    <w:rsid w:val="4E8A521C"/>
    <w:rsid w:val="50B758EA"/>
    <w:rsid w:val="527B4B44"/>
    <w:rsid w:val="52A74F67"/>
    <w:rsid w:val="532D2D1C"/>
    <w:rsid w:val="53322090"/>
    <w:rsid w:val="53757211"/>
    <w:rsid w:val="547A3A6F"/>
    <w:rsid w:val="54C260EC"/>
    <w:rsid w:val="54FB1CC4"/>
    <w:rsid w:val="56E06C21"/>
    <w:rsid w:val="56F95AF4"/>
    <w:rsid w:val="58AC47F8"/>
    <w:rsid w:val="58E26678"/>
    <w:rsid w:val="5C7764EA"/>
    <w:rsid w:val="5C832AC5"/>
    <w:rsid w:val="69033219"/>
    <w:rsid w:val="6A576323"/>
    <w:rsid w:val="6AD02813"/>
    <w:rsid w:val="6AE74EBB"/>
    <w:rsid w:val="6B1B7CB6"/>
    <w:rsid w:val="6DE82085"/>
    <w:rsid w:val="6ED32914"/>
    <w:rsid w:val="70186662"/>
    <w:rsid w:val="75B26906"/>
    <w:rsid w:val="77D94C06"/>
    <w:rsid w:val="7E0A1081"/>
    <w:rsid w:val="7F5E2DF1"/>
    <w:rsid w:val="7F61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2级标题"/>
    <w:basedOn w:val="1"/>
    <w:next w:val="7"/>
    <w:qFormat/>
    <w:uiPriority w:val="0"/>
    <w:pPr>
      <w:spacing w:line="560" w:lineRule="exact"/>
      <w:ind w:firstLine="640" w:firstLineChars="200"/>
      <w:outlineLvl w:val="1"/>
    </w:pPr>
    <w:rPr>
      <w:rFonts w:ascii="仿宋" w:hAnsi="仿宋" w:eastAsia="楷体" w:cs="宋体"/>
      <w:sz w:val="32"/>
      <w:szCs w:val="20"/>
    </w:rPr>
  </w:style>
  <w:style w:type="paragraph" w:customStyle="1" w:styleId="7">
    <w:name w:val="公文正文"/>
    <w:basedOn w:val="1"/>
    <w:qFormat/>
    <w:uiPriority w:val="0"/>
    <w:pPr>
      <w:tabs>
        <w:tab w:val="left" w:pos="2700"/>
      </w:tabs>
      <w:spacing w:line="560" w:lineRule="exact"/>
      <w:ind w:firstLine="640" w:firstLineChars="200"/>
    </w:pPr>
    <w:rPr>
      <w:rFonts w:ascii="仿宋_GB2312" w:hAnsi="仿宋" w:eastAsia="仿宋_GB2312" w:cs="宋体"/>
      <w:sz w:val="32"/>
      <w:szCs w:val="20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LXM</cp:lastModifiedBy>
  <cp:lastPrinted>2020-06-12T06:47:00Z</cp:lastPrinted>
  <dcterms:modified xsi:type="dcterms:W3CDTF">2020-06-29T08:36:01Z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