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地方政府专项债券存续期公开信息</w:t>
      </w:r>
    </w:p>
    <w:p>
      <w:pPr>
        <w:spacing w:line="578" w:lineRule="exact"/>
        <w:rPr>
          <w:rFonts w:ascii="仿宋_GB2312" w:hAnsi="仿宋_GB2312" w:eastAsia="仿宋_GB2312" w:cs="仿宋_GB2312"/>
          <w:sz w:val="32"/>
          <w:szCs w:val="40"/>
        </w:rPr>
      </w:pP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印发〈地方政府债务信息公开办法（试行）〉的通知》（财预〔2018〕209号），现将“2018年深圳市坪山区产业园区专项债券（二期）-2018年深圳市政府专项债券（五期）”、“2019年深圳市（坪山区）产业园区专项债券（一期）-2019年深圳市政府专项债券（十一期）”、“2020年深圳市产业园区基础设施专项债券（一期）-2020年深圳市政府专项债券（六十五期）”存续期相关信息公开如下：</w:t>
      </w:r>
    </w:p>
    <w:p>
      <w:pPr>
        <w:pStyle w:val="9"/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地方政府专项债券发行</w:t>
      </w:r>
      <w:r>
        <w:rPr>
          <w:rFonts w:hint="eastAsia" w:ascii="黑体" w:hAnsi="黑体" w:eastAsia="黑体" w:cs="黑体"/>
          <w:bCs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生物医药产业加速器园区及</w:t>
      </w:r>
      <w:r>
        <w:rPr>
          <w:rFonts w:hint="eastAsia" w:ascii="仿宋_GB2312" w:eastAsia="仿宋_GB2312"/>
          <w:sz w:val="32"/>
          <w:szCs w:val="32"/>
        </w:rPr>
        <w:t>新能源汽车产业园区项目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（下称“本项目</w:t>
      </w:r>
      <w:r>
        <w:rPr>
          <w:rFonts w:hint="eastAsia" w:ascii="仿宋_GB2312" w:eastAsia="仿宋_GB2312"/>
          <w:sz w:val="32"/>
          <w:szCs w:val="32"/>
        </w:rPr>
        <w:t>”）由</w:t>
      </w:r>
      <w:r>
        <w:rPr>
          <w:rFonts w:hint="eastAsia" w:ascii="仿宋_GB2312" w:hAnsi="仿宋_GB2312" w:eastAsia="仿宋_GB2312" w:cs="仿宋_GB2312"/>
          <w:sz w:val="32"/>
          <w:szCs w:val="32"/>
        </w:rPr>
        <w:t>深圳市坪山区产业投资服务有限公司（下称“产服公司”）负责实施，项目共发行三支专项债券，分别为：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2018年9月27日发行“2018年深圳市坪山区产业园区专项债券（二期）-2018年深圳市政府专项债券（五期）”，用于实施本项目资金15亿元；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2019年3月28日发行“2019年深圳市（坪山区）产业园区专项债券（一期）-2019年深圳市政府专项债券（十一期）”，用于实施本项目资金5.2亿元；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2020年8月27日发行“2020年深圳市产业园区基础设施专项债券（一期）-2020年深圳市政府专项债券（六十五期）”，用于实施本项目资金5亿元。</w:t>
      </w:r>
    </w:p>
    <w:p>
      <w:pPr>
        <w:numPr>
          <w:ilvl w:val="0"/>
          <w:numId w:val="1"/>
        </w:numPr>
        <w:spacing w:line="578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截至2020年末专项债券的相关情况</w:t>
      </w:r>
    </w:p>
    <w:p>
      <w:pPr>
        <w:spacing w:line="578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（一）专项债券资金使用情况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截至2020年末，专项债券资金支出共252,000万元，其中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生物医药产业加速器园区项目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支出158,741.38万元，</w:t>
      </w:r>
      <w:r>
        <w:rPr>
          <w:rFonts w:hint="eastAsia" w:ascii="仿宋_GB2312" w:eastAsia="仿宋_GB2312"/>
          <w:sz w:val="32"/>
          <w:szCs w:val="32"/>
        </w:rPr>
        <w:t>新能源汽车产业园区项目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支出93,258.61万元，手续费支出0.01万元。</w:t>
      </w:r>
    </w:p>
    <w:p>
      <w:pPr>
        <w:spacing w:line="578" w:lineRule="exact"/>
        <w:ind w:firstLine="640" w:firstLineChars="200"/>
        <w:rPr>
          <w:rFonts w:ascii="楷体" w:hAnsi="楷体" w:eastAsia="楷体" w:cs="楷体"/>
          <w:sz w:val="32"/>
          <w:szCs w:val="32"/>
          <w:highlight w:val="red"/>
        </w:rPr>
      </w:pPr>
      <w:r>
        <w:rPr>
          <w:rFonts w:hint="eastAsia" w:ascii="楷体" w:hAnsi="楷体" w:eastAsia="楷体" w:cs="楷体"/>
          <w:sz w:val="32"/>
          <w:szCs w:val="32"/>
        </w:rPr>
        <w:t>（二）专项债券对应项目建设进度、运营情况</w:t>
      </w:r>
    </w:p>
    <w:p>
      <w:pPr>
        <w:spacing w:line="578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生物医药产业加速器园区项目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项目于2018年11月开工建设，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地基与基础工程由中建三局集团有限公司承建，</w:t>
      </w:r>
      <w:r>
        <w:rPr>
          <w:rFonts w:hint="eastAsia" w:ascii="仿宋_GB2312" w:hAnsi="宋体" w:eastAsia="仿宋_GB2312"/>
          <w:bCs/>
          <w:sz w:val="32"/>
          <w:szCs w:val="32"/>
        </w:rPr>
        <w:t>土方外运累计完成150万立方</w:t>
      </w:r>
      <w:r>
        <w:rPr>
          <w:rFonts w:ascii="仿宋_GB2312" w:hAnsi="宋体" w:eastAsia="仿宋_GB2312"/>
          <w:bCs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EPC总承包工程分两个标段进行建设，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一标段EPC于2020年2月19日完成定标工作，中标单位为中建科技集团有限公司；二标段EPC于2020年8月27日完成定标，中标单位为中建科技集团有限公司。</w:t>
      </w:r>
    </w:p>
    <w:p>
      <w:pPr>
        <w:spacing w:line="578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2.新能源汽车产业园区项目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Ansi="宋体" w:cs="Times New Roman"/>
          <w:bCs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项目G14301-0111宗地用于实施北京理工大学深圳汽车研究院项目，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EPC总承包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于2020年8月27日完成定标，中标单位为中建科技集团有限公司。土石方外运累计完成32.7万</w:t>
      </w:r>
      <w:r>
        <w:rPr>
          <w:rFonts w:hint="eastAsia" w:ascii="仿宋_GB2312" w:hAnsi="宋体" w:eastAsia="仿宋_GB2312"/>
          <w:bCs/>
          <w:sz w:val="32"/>
          <w:szCs w:val="32"/>
        </w:rPr>
        <w:t>立方</w:t>
      </w:r>
      <w:r>
        <w:rPr>
          <w:rFonts w:hint="eastAsia" w:ascii="仿宋_GB2312" w:hAnsi="仿宋_GB2312" w:eastAsia="仿宋_GB2312" w:cs="仿宋_GB2312"/>
          <w:sz w:val="32"/>
          <w:szCs w:val="32"/>
        </w:rPr>
        <w:t>，完成率55%。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Cs w:val="32"/>
        </w:rPr>
      </w:pPr>
      <w:r>
        <w:rPr>
          <w:rFonts w:hint="eastAsia"/>
          <w:szCs w:val="32"/>
        </w:rPr>
        <w:t>项目G14301-0112宗地用于建设创新型装配式产业用房项目，</w:t>
      </w:r>
      <w:r>
        <w:rPr>
          <w:rFonts w:hint="eastAsia" w:hAnsi="宋体" w:cs="仿宋_GB2312"/>
          <w:color w:val="000000"/>
          <w:szCs w:val="32"/>
        </w:rPr>
        <w:t>EPC总承包</w:t>
      </w:r>
      <w:r>
        <w:rPr>
          <w:rFonts w:hint="eastAsia" w:hAnsi="仿宋_GB2312" w:cs="仿宋_GB2312"/>
          <w:szCs w:val="32"/>
        </w:rPr>
        <w:t>于</w:t>
      </w:r>
      <w:r>
        <w:rPr>
          <w:rFonts w:hint="eastAsia"/>
          <w:color w:val="000000"/>
          <w:szCs w:val="32"/>
        </w:rPr>
        <w:t>2019年12月19日完成定标，中标单位为中建科技有限公司。地基与基础工程于2020年3月15日施工，已全部完成土方外运及基坑支护工作</w:t>
      </w:r>
      <w:r>
        <w:rPr>
          <w:rFonts w:hint="eastAsia"/>
          <w:color w:val="000000"/>
          <w:szCs w:val="32"/>
          <w:lang w:eastAsia="zh-CN"/>
        </w:rPr>
        <w:t>；</w:t>
      </w:r>
      <w:r>
        <w:rPr>
          <w:rFonts w:hint="eastAsia"/>
          <w:szCs w:val="32"/>
        </w:rPr>
        <w:t>筏板基础施工已完成约77%，地下室结构施工已完成60%。</w:t>
      </w:r>
    </w:p>
    <w:p>
      <w:pPr>
        <w:numPr>
          <w:ilvl w:val="0"/>
          <w:numId w:val="2"/>
        </w:numPr>
        <w:spacing w:line="578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项目收益以及项目对应形成的资产情况</w:t>
      </w:r>
    </w:p>
    <w:p>
      <w:pPr>
        <w:spacing w:line="578" w:lineRule="exact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生物医药产业加速器园区及</w:t>
      </w:r>
      <w:r>
        <w:rPr>
          <w:rFonts w:hint="eastAsia" w:ascii="仿宋_GB2312" w:eastAsia="仿宋_GB2312"/>
          <w:sz w:val="32"/>
          <w:szCs w:val="32"/>
        </w:rPr>
        <w:t>新能源汽车产业园区项目目前均处于建设期，</w:t>
      </w:r>
      <w:r>
        <w:rPr>
          <w:rFonts w:hint="eastAsia" w:ascii="仿宋_GB2312" w:hAnsi="仿宋_GB2312" w:eastAsia="仿宋_GB2312" w:cs="仿宋_GB2312"/>
          <w:sz w:val="32"/>
          <w:szCs w:val="40"/>
        </w:rPr>
        <w:t>暂未形成收益。</w:t>
      </w:r>
      <w:r>
        <w:rPr>
          <w:rFonts w:hint="eastAsia" w:ascii="仿宋_GB2312" w:eastAsia="仿宋_GB2312"/>
          <w:sz w:val="32"/>
          <w:szCs w:val="32"/>
        </w:rPr>
        <w:t>截至2020年年末，已形成开发成本约312,636.3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万元（未结算）,其中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生物医药产业加速器园区项目</w:t>
      </w:r>
      <w:r>
        <w:rPr>
          <w:rFonts w:hint="eastAsia" w:ascii="仿宋_GB2312" w:eastAsia="仿宋_GB2312"/>
          <w:sz w:val="32"/>
          <w:szCs w:val="32"/>
        </w:rPr>
        <w:t>191,881.09万元，新能源汽车产业园区项目120,755.2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578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截至2021年5月底专项债券的相关情况</w:t>
      </w:r>
    </w:p>
    <w:p>
      <w:pPr>
        <w:pStyle w:val="7"/>
        <w:numPr>
          <w:ilvl w:val="0"/>
          <w:numId w:val="4"/>
        </w:numPr>
        <w:spacing w:line="578" w:lineRule="exact"/>
        <w:rPr>
          <w:rFonts w:ascii="楷体" w:hAnsi="楷体" w:cs="楷体"/>
          <w:szCs w:val="32"/>
        </w:rPr>
      </w:pPr>
      <w:r>
        <w:rPr>
          <w:rFonts w:hint="eastAsia" w:ascii="楷体" w:hAnsi="楷体" w:cs="楷体"/>
          <w:szCs w:val="32"/>
        </w:rPr>
        <w:t>专项债券资金使用情况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截至2020年5月底，专项债券资金支出共252,000万元，其中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坪山生物医药产业加速器园区项目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支出158,741.38万元，</w:t>
      </w:r>
      <w:r>
        <w:rPr>
          <w:rFonts w:hint="eastAsia" w:ascii="仿宋_GB2312" w:eastAsia="仿宋_GB2312"/>
          <w:sz w:val="32"/>
          <w:szCs w:val="32"/>
        </w:rPr>
        <w:t>新能源汽车产业园区项目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支出93,258.61万元，手续费支出0.01万元。</w:t>
      </w:r>
    </w:p>
    <w:p>
      <w:pPr>
        <w:spacing w:line="578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（二）专项债券对应项目建设进度、运营情况</w:t>
      </w:r>
    </w:p>
    <w:p>
      <w:pPr>
        <w:spacing w:line="578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生物医药产业加速器园区项目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一标段大部分区域仍在进行地下室结构施工，小部分区域已出正负零，二标段正在进行地下室施工。</w:t>
      </w:r>
      <w:bookmarkStart w:id="0" w:name="_GoBack"/>
      <w:bookmarkEnd w:id="0"/>
    </w:p>
    <w:p>
      <w:pPr>
        <w:spacing w:line="578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2.新能源汽车产业园区项目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G14301-0111宗地基坑支护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已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完成96%，土方外运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累计完成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87.3万立方，完成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率约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89.08%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8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G14301-0112宗地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1号楼地上主体结构施工至5层；2号楼地上主体结构施工至5层；3号楼A座地上结构主体施工至4层；3号楼B座地上结构主体施工至4层；地下室区域完成整体</w:t>
      </w: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80%。</w:t>
      </w:r>
    </w:p>
    <w:p>
      <w:pPr>
        <w:spacing w:line="578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（三）项目收益以及项目对应形成的资产情况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eastAsia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目前均处于建设期，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暂未形成收益。</w:t>
      </w:r>
      <w:r>
        <w:rPr>
          <w:rFonts w:hint="eastAsia" w:ascii="仿宋_GB2312" w:eastAsia="仿宋_GB2312"/>
          <w:sz w:val="32"/>
          <w:szCs w:val="32"/>
          <w:lang w:eastAsia="zh-CN"/>
        </w:rPr>
        <w:t>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2021年5月末，</w:t>
      </w:r>
      <w:r>
        <w:rPr>
          <w:rFonts w:hint="eastAsia" w:ascii="仿宋_GB2312" w:eastAsia="仿宋_GB2312"/>
          <w:sz w:val="32"/>
          <w:szCs w:val="32"/>
          <w:lang w:eastAsia="zh-CN"/>
        </w:rPr>
        <w:t>已形成开发成本约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316,629.02</w:t>
      </w:r>
      <w:r>
        <w:rPr>
          <w:rFonts w:hint="eastAsia" w:ascii="仿宋_GB2312" w:eastAsia="仿宋_GB2312"/>
          <w:sz w:val="32"/>
          <w:szCs w:val="32"/>
          <w:lang w:eastAsia="zh-CN"/>
        </w:rPr>
        <w:t>万元（未结算）,其中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生物医药产业加速器园区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194,613.66</w:t>
      </w:r>
      <w:r>
        <w:rPr>
          <w:rFonts w:hint="eastAsia" w:ascii="仿宋_GB2312" w:eastAsia="仿宋_GB2312"/>
          <w:sz w:val="32"/>
          <w:szCs w:val="32"/>
          <w:lang w:eastAsia="zh-CN"/>
        </w:rPr>
        <w:t>万元，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新能源汽车产业园区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122,015.36</w:t>
      </w:r>
      <w:r>
        <w:rPr>
          <w:rFonts w:hint="eastAsia" w:ascii="仿宋_GB2312" w:eastAsia="仿宋_GB2312"/>
          <w:sz w:val="32"/>
          <w:szCs w:val="32"/>
          <w:lang w:eastAsia="zh-CN"/>
        </w:rPr>
        <w:t>万元。</w:t>
      </w:r>
    </w:p>
    <w:sectPr>
      <w:footerReference r:id="rId3" w:type="default"/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1C943"/>
    <w:multiLevelType w:val="singleLevel"/>
    <w:tmpl w:val="C041C9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6DAB449"/>
    <w:multiLevelType w:val="singleLevel"/>
    <w:tmpl w:val="06DAB44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7926720"/>
    <w:multiLevelType w:val="singleLevel"/>
    <w:tmpl w:val="1792672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5986BF7"/>
    <w:multiLevelType w:val="singleLevel"/>
    <w:tmpl w:val="55986BF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506DC8"/>
    <w:rsid w:val="005A65F5"/>
    <w:rsid w:val="00AC74DF"/>
    <w:rsid w:val="00B92EB7"/>
    <w:rsid w:val="01A71EE9"/>
    <w:rsid w:val="01BE7C97"/>
    <w:rsid w:val="027331A9"/>
    <w:rsid w:val="05A77EB6"/>
    <w:rsid w:val="095964F6"/>
    <w:rsid w:val="09621BE9"/>
    <w:rsid w:val="09861C48"/>
    <w:rsid w:val="0A0E399D"/>
    <w:rsid w:val="0B256693"/>
    <w:rsid w:val="0CD46F9F"/>
    <w:rsid w:val="1059582B"/>
    <w:rsid w:val="118615F0"/>
    <w:rsid w:val="12D26B4A"/>
    <w:rsid w:val="13C404F3"/>
    <w:rsid w:val="17986B9B"/>
    <w:rsid w:val="17A302F9"/>
    <w:rsid w:val="187121FF"/>
    <w:rsid w:val="190200DD"/>
    <w:rsid w:val="191608B1"/>
    <w:rsid w:val="1A412630"/>
    <w:rsid w:val="1AF204E7"/>
    <w:rsid w:val="1E541E03"/>
    <w:rsid w:val="1F8662D7"/>
    <w:rsid w:val="207E345A"/>
    <w:rsid w:val="23FE7A0F"/>
    <w:rsid w:val="25B772B5"/>
    <w:rsid w:val="266577C5"/>
    <w:rsid w:val="28AF3545"/>
    <w:rsid w:val="29480975"/>
    <w:rsid w:val="29605E86"/>
    <w:rsid w:val="29E9272E"/>
    <w:rsid w:val="2B723F30"/>
    <w:rsid w:val="2F8C6621"/>
    <w:rsid w:val="308614F4"/>
    <w:rsid w:val="36E334B5"/>
    <w:rsid w:val="37465E3C"/>
    <w:rsid w:val="37EB6C44"/>
    <w:rsid w:val="38314EE5"/>
    <w:rsid w:val="3B4905BB"/>
    <w:rsid w:val="3B574FF7"/>
    <w:rsid w:val="3F625CA2"/>
    <w:rsid w:val="407411E8"/>
    <w:rsid w:val="42B34335"/>
    <w:rsid w:val="46657359"/>
    <w:rsid w:val="485F2642"/>
    <w:rsid w:val="4A5E386F"/>
    <w:rsid w:val="4A752230"/>
    <w:rsid w:val="4E8A521C"/>
    <w:rsid w:val="4F2F0CF8"/>
    <w:rsid w:val="518A7227"/>
    <w:rsid w:val="527B4B44"/>
    <w:rsid w:val="52A74F67"/>
    <w:rsid w:val="532D2D1C"/>
    <w:rsid w:val="532D61D2"/>
    <w:rsid w:val="53322090"/>
    <w:rsid w:val="53757211"/>
    <w:rsid w:val="547A3A6F"/>
    <w:rsid w:val="54C260EC"/>
    <w:rsid w:val="54FB1CC4"/>
    <w:rsid w:val="56E06C21"/>
    <w:rsid w:val="56F95AF4"/>
    <w:rsid w:val="58AC47F8"/>
    <w:rsid w:val="58E26678"/>
    <w:rsid w:val="5C7764EA"/>
    <w:rsid w:val="605C4E55"/>
    <w:rsid w:val="645D43C0"/>
    <w:rsid w:val="69033219"/>
    <w:rsid w:val="6A576323"/>
    <w:rsid w:val="6AD02813"/>
    <w:rsid w:val="6AE74EBB"/>
    <w:rsid w:val="6B1B7CB6"/>
    <w:rsid w:val="6D554CCE"/>
    <w:rsid w:val="6DE82085"/>
    <w:rsid w:val="70186662"/>
    <w:rsid w:val="72EA685E"/>
    <w:rsid w:val="75B26906"/>
    <w:rsid w:val="77D94C06"/>
    <w:rsid w:val="7CE2770A"/>
    <w:rsid w:val="7F5E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公文2级标题"/>
    <w:basedOn w:val="1"/>
    <w:next w:val="8"/>
    <w:qFormat/>
    <w:uiPriority w:val="0"/>
    <w:pPr>
      <w:spacing w:line="560" w:lineRule="exact"/>
      <w:ind w:firstLine="640" w:firstLineChars="200"/>
      <w:outlineLvl w:val="1"/>
    </w:pPr>
    <w:rPr>
      <w:rFonts w:ascii="仿宋" w:hAnsi="仿宋" w:eastAsia="楷体" w:cs="宋体"/>
      <w:sz w:val="32"/>
      <w:szCs w:val="20"/>
    </w:rPr>
  </w:style>
  <w:style w:type="paragraph" w:customStyle="1" w:styleId="8">
    <w:name w:val="公文正文"/>
    <w:basedOn w:val="1"/>
    <w:qFormat/>
    <w:uiPriority w:val="0"/>
    <w:pPr>
      <w:tabs>
        <w:tab w:val="left" w:pos="2700"/>
      </w:tabs>
      <w:spacing w:line="560" w:lineRule="exact"/>
      <w:ind w:firstLine="640" w:firstLineChars="200"/>
    </w:pPr>
    <w:rPr>
      <w:rFonts w:ascii="仿宋_GB2312" w:hAnsi="仿宋" w:eastAsia="仿宋_GB2312" w:cs="宋体"/>
      <w:sz w:val="32"/>
      <w:szCs w:val="20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1554</Characters>
  <Lines>12</Lines>
  <Paragraphs>3</Paragraphs>
  <TotalTime>11</TotalTime>
  <ScaleCrop>false</ScaleCrop>
  <LinksUpToDate>false</LinksUpToDate>
  <CharactersWithSpaces>1823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LXM</cp:lastModifiedBy>
  <cp:lastPrinted>2020-06-12T06:47:00Z</cp:lastPrinted>
  <dcterms:modified xsi:type="dcterms:W3CDTF">2021-06-08T06:35:44Z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675391FD142047A1B3A6C666837B7AB4</vt:lpwstr>
  </property>
</Properties>
</file>